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94262" w14:textId="77777777" w:rsidR="00826292" w:rsidRDefault="005D0E60">
      <w:pPr>
        <w:jc w:val="center"/>
        <w:rPr>
          <w:b/>
          <w:sz w:val="24"/>
          <w:szCs w:val="24"/>
        </w:rPr>
      </w:pPr>
      <w:r>
        <w:rPr>
          <w:b/>
          <w:sz w:val="24"/>
          <w:szCs w:val="24"/>
        </w:rPr>
        <w:t>Smart Metering Implementation Programme</w:t>
      </w:r>
    </w:p>
    <w:p w14:paraId="4C74914D" w14:textId="77777777" w:rsidR="00826292" w:rsidRDefault="00826292">
      <w:pPr>
        <w:pStyle w:val="Narrow"/>
      </w:pPr>
    </w:p>
    <w:p w14:paraId="2EF71FCC" w14:textId="77777777" w:rsidR="00826292" w:rsidRDefault="005D0E60">
      <w:pPr>
        <w:pStyle w:val="NoSpacing"/>
        <w:jc w:val="center"/>
        <w:rPr>
          <w:rFonts w:cs="Arial"/>
          <w:sz w:val="32"/>
          <w:szCs w:val="24"/>
        </w:rPr>
      </w:pPr>
      <w:r>
        <w:rPr>
          <w:rFonts w:cs="Arial"/>
          <w:sz w:val="32"/>
          <w:szCs w:val="24"/>
        </w:rPr>
        <w:t>Technical Specification Change Resolution Proposal (CRP)</w:t>
      </w:r>
    </w:p>
    <w:p w14:paraId="598BB35E" w14:textId="77777777" w:rsidR="00826292" w:rsidRDefault="00826292">
      <w:pPr>
        <w:pStyle w:val="Narrow"/>
      </w:pPr>
    </w:p>
    <w:p w14:paraId="5F6D0A51" w14:textId="3A2B66CB" w:rsidR="00826292" w:rsidRDefault="005D0E60" w:rsidP="00382FE4">
      <w:pPr>
        <w:ind w:left="57" w:right="57"/>
        <w:rPr>
          <w:vertAlign w:val="superscript"/>
        </w:rPr>
      </w:pPr>
      <w:r>
        <w:rPr>
          <w:noProof/>
        </w:rPr>
        <mc:AlternateContent>
          <mc:Choice Requires="wps">
            <w:drawing>
              <wp:anchor distT="0" distB="0" distL="0" distR="0" simplePos="0" relativeHeight="251658240" behindDoc="1" locked="0" layoutInCell="0" allowOverlap="1" wp14:anchorId="6637F478" wp14:editId="64F855F9">
                <wp:simplePos x="0" y="0"/>
                <wp:positionH relativeFrom="margin">
                  <wp:align>left</wp:align>
                </wp:positionH>
                <wp:positionV relativeFrom="paragraph">
                  <wp:posOffset>43543</wp:posOffset>
                </wp:positionV>
                <wp:extent cx="5830760" cy="602640"/>
                <wp:effectExtent l="0" t="0" r="17780" b="26035"/>
                <wp:wrapNone/>
                <wp:docPr id="1" name="Text Box 1"/>
                <wp:cNvGraphicFramePr/>
                <a:graphic xmlns:a="http://schemas.openxmlformats.org/drawingml/2006/main">
                  <a:graphicData uri="http://schemas.microsoft.com/office/word/2010/wordprocessingShape">
                    <wps:wsp>
                      <wps:cNvSpPr/>
                      <wps:spPr>
                        <a:xfrm>
                          <a:off x="0" y="0"/>
                          <a:ext cx="5830760" cy="60264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2698316" w14:textId="77777777" w:rsidR="00826292" w:rsidRDefault="00826292">
                            <w:pPr>
                              <w:pStyle w:val="FrameContents"/>
                              <w:rPr>
                                <w:color w:val="000000"/>
                              </w:rPr>
                            </w:pPr>
                          </w:p>
                        </w:txbxContent>
                      </wps:txbx>
                      <wps:bodyPr wrap="square">
                        <a:noAutofit/>
                      </wps:bodyPr>
                    </wps:wsp>
                  </a:graphicData>
                </a:graphic>
                <wp14:sizeRelH relativeFrom="margin">
                  <wp14:pctWidth>0</wp14:pctWidth>
                </wp14:sizeRelH>
              </wp:anchor>
            </w:drawing>
          </mc:Choice>
          <mc:Fallback>
            <w:pict>
              <v:rect w14:anchorId="6637F478" id="Text Box 1" o:spid="_x0000_s1026" style="position:absolute;left:0;text-align:left;margin-left:0;margin-top:3.45pt;width:459.1pt;height:47.45pt;z-index:-251658240;visibility:visible;mso-wrap-style:square;mso-width-percent:0;mso-wrap-distance-left:0;mso-wrap-distance-top:0;mso-wrap-distance-right:0;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" o:allowincell="f" fillcolor="white [3201]" strokeweight=".18mm">
                <v:stroke joinstyle="round"/>
                <v:textbox>
                  <w:txbxContent>
                    <w:p w14:paraId="62698316" w14:textId="77777777" w:rsidR="00826292" w:rsidRDefault="00826292">
                      <w:pPr>
                        <w:pStyle w:val="FrameContents"/>
                        <w:rPr>
                          <w:color w:val="000000"/>
                        </w:rPr>
                      </w:pPr>
                    </w:p>
                  </w:txbxContent>
                </v:textbox>
                <w10:wrap anchorx="margin"/>
              </v:rect>
            </w:pict>
          </mc:Fallback>
        </mc:AlternateContent>
      </w:r>
      <w:r>
        <w:t xml:space="preserve">This note provides BEIS’s interim position on an issue identified with the current version of the Technical Specifications or their associated content.  Please note this position should be considered as Draft until ratified through TBDG. </w:t>
      </w:r>
    </w:p>
    <w:p w14:paraId="7531B837" w14:textId="77777777" w:rsidR="00826292" w:rsidRDefault="00826292">
      <w:pPr>
        <w:pStyle w:val="Narrow"/>
      </w:pPr>
    </w:p>
    <w:tbl>
      <w:tblPr>
        <w:tblStyle w:val="TableGrid"/>
        <w:tblW w:w="9180" w:type="dxa"/>
        <w:tblLayout w:type="fixed"/>
        <w:tblCellMar>
          <w:top w:w="85" w:type="dxa"/>
          <w:bottom w:w="85" w:type="dxa"/>
        </w:tblCellMar>
        <w:tblLook w:val="04A0" w:firstRow="1" w:lastRow="0" w:firstColumn="1" w:lastColumn="0" w:noHBand="0" w:noVBand="1"/>
      </w:tblPr>
      <w:tblGrid>
        <w:gridCol w:w="3936"/>
        <w:gridCol w:w="5244"/>
      </w:tblGrid>
      <w:tr w:rsidR="00826292" w14:paraId="23E5AB52" w14:textId="77777777">
        <w:tc>
          <w:tcPr>
            <w:tcW w:w="3936" w:type="dxa"/>
          </w:tcPr>
          <w:p w14:paraId="0F74FA50" w14:textId="77777777" w:rsidR="00826292" w:rsidRDefault="005D0E60">
            <w:pPr>
              <w:pStyle w:val="NoSpacing"/>
              <w:rPr>
                <w:b/>
              </w:rPr>
            </w:pPr>
            <w:r>
              <w:rPr>
                <w:rFonts w:eastAsia="Calibri"/>
                <w:b/>
              </w:rPr>
              <w:t>Date</w:t>
            </w:r>
          </w:p>
        </w:tc>
        <w:tc>
          <w:tcPr>
            <w:tcW w:w="5243" w:type="dxa"/>
          </w:tcPr>
          <w:p w14:paraId="15B38AEF" w14:textId="3318CD02" w:rsidR="00826292" w:rsidRDefault="00AA1C07">
            <w:pPr>
              <w:pStyle w:val="NoSpacing"/>
              <w:rPr>
                <w:iCs/>
              </w:rPr>
            </w:pPr>
            <w:r>
              <w:rPr>
                <w:rFonts w:eastAsia="Calibri"/>
                <w:iCs/>
              </w:rPr>
              <w:t>1</w:t>
            </w:r>
            <w:r w:rsidR="004D5E02">
              <w:rPr>
                <w:rFonts w:eastAsia="Calibri"/>
                <w:iCs/>
              </w:rPr>
              <w:t>6</w:t>
            </w:r>
            <w:r w:rsidR="00953F50">
              <w:rPr>
                <w:rFonts w:eastAsia="Calibri"/>
                <w:iCs/>
              </w:rPr>
              <w:t xml:space="preserve"> June </w:t>
            </w:r>
            <w:r w:rsidR="000E6D9B" w:rsidRPr="00BB6EF3">
              <w:rPr>
                <w:rFonts w:eastAsia="Calibri"/>
                <w:iCs/>
              </w:rPr>
              <w:t>2022</w:t>
            </w:r>
          </w:p>
        </w:tc>
      </w:tr>
      <w:tr w:rsidR="00826292" w14:paraId="7E05A0B0" w14:textId="77777777">
        <w:tc>
          <w:tcPr>
            <w:tcW w:w="3936" w:type="dxa"/>
          </w:tcPr>
          <w:p w14:paraId="3CEA40FB" w14:textId="77777777" w:rsidR="00826292" w:rsidRDefault="005D0E60">
            <w:pPr>
              <w:pStyle w:val="NoSpacing"/>
              <w:rPr>
                <w:b/>
              </w:rPr>
            </w:pPr>
            <w:r>
              <w:rPr>
                <w:rFonts w:eastAsia="Calibri"/>
                <w:b/>
              </w:rPr>
              <w:t>Issue Resolution Proposal</w:t>
            </w:r>
          </w:p>
        </w:tc>
        <w:tc>
          <w:tcPr>
            <w:tcW w:w="5243" w:type="dxa"/>
          </w:tcPr>
          <w:p w14:paraId="01CBAF02" w14:textId="30D12B39" w:rsidR="00826292" w:rsidRDefault="005D0E60">
            <w:pPr>
              <w:pStyle w:val="NoSpacing"/>
              <w:rPr>
                <w:rFonts w:eastAsia="Calibri"/>
              </w:rPr>
            </w:pPr>
            <w:r>
              <w:rPr>
                <w:rFonts w:eastAsia="Calibri"/>
              </w:rPr>
              <w:t>CRP6</w:t>
            </w:r>
            <w:r w:rsidR="00BB6EF3">
              <w:rPr>
                <w:rFonts w:eastAsia="Calibri"/>
              </w:rPr>
              <w:t>55</w:t>
            </w:r>
          </w:p>
        </w:tc>
      </w:tr>
      <w:tr w:rsidR="00826292" w14:paraId="40437848" w14:textId="77777777">
        <w:tc>
          <w:tcPr>
            <w:tcW w:w="3936" w:type="dxa"/>
          </w:tcPr>
          <w:p w14:paraId="38F26C49" w14:textId="77777777" w:rsidR="00826292" w:rsidRDefault="005D0E60">
            <w:pPr>
              <w:pStyle w:val="NoSpacing"/>
              <w:rPr>
                <w:b/>
              </w:rPr>
            </w:pPr>
            <w:r>
              <w:rPr>
                <w:rFonts w:eastAsia="Calibri"/>
                <w:b/>
              </w:rPr>
              <w:t>Issues Log ID</w:t>
            </w:r>
          </w:p>
        </w:tc>
        <w:tc>
          <w:tcPr>
            <w:tcW w:w="5243" w:type="dxa"/>
          </w:tcPr>
          <w:p w14:paraId="47311019" w14:textId="19685382" w:rsidR="00826292" w:rsidRDefault="005D0E60">
            <w:pPr>
              <w:pStyle w:val="NoSpacing"/>
              <w:rPr>
                <w:rFonts w:eastAsia="Calibri"/>
              </w:rPr>
            </w:pPr>
            <w:r>
              <w:rPr>
                <w:rFonts w:eastAsia="Calibri"/>
              </w:rPr>
              <w:t>TS1</w:t>
            </w:r>
            <w:r w:rsidR="00BB6EF3">
              <w:rPr>
                <w:rFonts w:eastAsia="Calibri"/>
              </w:rPr>
              <w:t>513</w:t>
            </w:r>
          </w:p>
        </w:tc>
      </w:tr>
      <w:tr w:rsidR="00826292" w14:paraId="7016E1ED" w14:textId="77777777">
        <w:tc>
          <w:tcPr>
            <w:tcW w:w="3936" w:type="dxa"/>
          </w:tcPr>
          <w:p w14:paraId="776A3CE4" w14:textId="77777777" w:rsidR="00826292" w:rsidRDefault="005D0E60">
            <w:pPr>
              <w:pStyle w:val="NoSpacing"/>
              <w:rPr>
                <w:b/>
              </w:rPr>
            </w:pPr>
            <w:r>
              <w:rPr>
                <w:rFonts w:eastAsia="Calibri"/>
                <w:b/>
              </w:rPr>
              <w:t>Issue Title</w:t>
            </w:r>
          </w:p>
        </w:tc>
        <w:tc>
          <w:tcPr>
            <w:tcW w:w="5243" w:type="dxa"/>
          </w:tcPr>
          <w:p w14:paraId="41AEF5C2" w14:textId="65A347DE" w:rsidR="00826292" w:rsidRDefault="00BB6EF3">
            <w:pPr>
              <w:pStyle w:val="NoSpacing"/>
              <w:rPr>
                <w:i/>
              </w:rPr>
            </w:pPr>
            <w:r w:rsidRPr="00BB6EF3">
              <w:rPr>
                <w:rFonts w:eastAsia="Calibri"/>
              </w:rPr>
              <w:t>Processing for gas meters without a Valve</w:t>
            </w:r>
          </w:p>
        </w:tc>
      </w:tr>
      <w:tr w:rsidR="00826292" w14:paraId="6080471A" w14:textId="77777777">
        <w:tc>
          <w:tcPr>
            <w:tcW w:w="3936" w:type="dxa"/>
          </w:tcPr>
          <w:p w14:paraId="38E621C2" w14:textId="77777777" w:rsidR="00826292" w:rsidRDefault="005D0E60">
            <w:pPr>
              <w:pStyle w:val="NoSpacing"/>
              <w:rPr>
                <w:b/>
              </w:rPr>
            </w:pPr>
            <w:r>
              <w:rPr>
                <w:rFonts w:eastAsia="Calibri"/>
                <w:b/>
              </w:rPr>
              <w:t>Source</w:t>
            </w:r>
          </w:p>
        </w:tc>
        <w:tc>
          <w:tcPr>
            <w:tcW w:w="5243" w:type="dxa"/>
          </w:tcPr>
          <w:p w14:paraId="6FA9CF3D" w14:textId="2AD3141A" w:rsidR="00826292" w:rsidRDefault="005D0E60">
            <w:pPr>
              <w:pStyle w:val="NoSpacing"/>
              <w:rPr>
                <w:iCs/>
              </w:rPr>
            </w:pPr>
            <w:r>
              <w:rPr>
                <w:rFonts w:eastAsia="Calibri"/>
                <w:iCs/>
              </w:rPr>
              <w:t>TSIRS</w:t>
            </w:r>
            <w:r w:rsidR="00BB6EF3">
              <w:rPr>
                <w:rFonts w:eastAsia="Calibri"/>
                <w:iCs/>
              </w:rPr>
              <w:t xml:space="preserve"> / BEIS</w:t>
            </w:r>
          </w:p>
        </w:tc>
      </w:tr>
      <w:tr w:rsidR="00826292" w14:paraId="6B737032" w14:textId="77777777">
        <w:trPr>
          <w:trHeight w:val="278"/>
        </w:trPr>
        <w:tc>
          <w:tcPr>
            <w:tcW w:w="3936" w:type="dxa"/>
          </w:tcPr>
          <w:p w14:paraId="343498AC" w14:textId="77777777" w:rsidR="00826292" w:rsidRDefault="005D0E60">
            <w:pPr>
              <w:pStyle w:val="NoSpacing"/>
              <w:rPr>
                <w:b/>
              </w:rPr>
            </w:pPr>
            <w:r>
              <w:rPr>
                <w:rFonts w:eastAsia="Calibri"/>
                <w:b/>
              </w:rPr>
              <w:t>Date Raised</w:t>
            </w:r>
          </w:p>
        </w:tc>
        <w:tc>
          <w:tcPr>
            <w:tcW w:w="5243" w:type="dxa"/>
          </w:tcPr>
          <w:p w14:paraId="60D1CB5C" w14:textId="38D5BA7F" w:rsidR="00826292" w:rsidRDefault="005D0E60">
            <w:pPr>
              <w:pStyle w:val="NoSpacing"/>
              <w:rPr>
                <w:iCs/>
              </w:rPr>
            </w:pPr>
            <w:r>
              <w:rPr>
                <w:rFonts w:eastAsia="Calibri"/>
                <w:iCs/>
              </w:rPr>
              <w:t>1</w:t>
            </w:r>
            <w:r w:rsidR="00BB6EF3">
              <w:rPr>
                <w:rFonts w:eastAsia="Calibri"/>
                <w:iCs/>
              </w:rPr>
              <w:t>8 February</w:t>
            </w:r>
            <w:r>
              <w:rPr>
                <w:rFonts w:eastAsia="Calibri"/>
                <w:iCs/>
              </w:rPr>
              <w:t xml:space="preserve"> 202</w:t>
            </w:r>
            <w:r w:rsidR="00BB6EF3">
              <w:rPr>
                <w:rFonts w:eastAsia="Calibri"/>
                <w:iCs/>
              </w:rPr>
              <w:t>2</w:t>
            </w:r>
          </w:p>
        </w:tc>
      </w:tr>
      <w:tr w:rsidR="00826292" w14:paraId="1ADDC4A0" w14:textId="77777777">
        <w:tc>
          <w:tcPr>
            <w:tcW w:w="3936" w:type="dxa"/>
          </w:tcPr>
          <w:p w14:paraId="46A41DF5" w14:textId="77777777" w:rsidR="00826292" w:rsidRDefault="005D0E60">
            <w:pPr>
              <w:pStyle w:val="NoSpacing"/>
              <w:rPr>
                <w:b/>
              </w:rPr>
            </w:pPr>
            <w:r>
              <w:rPr>
                <w:rFonts w:eastAsia="Calibri"/>
                <w:b/>
              </w:rPr>
              <w:t>Status</w:t>
            </w:r>
          </w:p>
        </w:tc>
        <w:tc>
          <w:tcPr>
            <w:tcW w:w="5243" w:type="dxa"/>
          </w:tcPr>
          <w:p w14:paraId="211E1A25" w14:textId="141E7CA8" w:rsidR="00826292" w:rsidRDefault="005D0E60">
            <w:pPr>
              <w:pStyle w:val="NoSpacing"/>
              <w:rPr>
                <w:rFonts w:eastAsia="Calibri"/>
              </w:rPr>
            </w:pPr>
            <w:r w:rsidRPr="00BB6EF3">
              <w:rPr>
                <w:iCs/>
              </w:rPr>
              <w:t>Draft v0_</w:t>
            </w:r>
            <w:r w:rsidR="00BB6EF3">
              <w:rPr>
                <w:iCs/>
              </w:rPr>
              <w:t>1</w:t>
            </w:r>
          </w:p>
        </w:tc>
      </w:tr>
      <w:tr w:rsidR="00826292" w14:paraId="47D0AD84" w14:textId="77777777">
        <w:tc>
          <w:tcPr>
            <w:tcW w:w="3936" w:type="dxa"/>
          </w:tcPr>
          <w:p w14:paraId="48CCF708" w14:textId="77777777" w:rsidR="00826292" w:rsidRDefault="005D0E60">
            <w:pPr>
              <w:pStyle w:val="NoSpacing"/>
              <w:rPr>
                <w:i/>
                <w:sz w:val="16"/>
                <w:szCs w:val="16"/>
              </w:rPr>
            </w:pPr>
            <w:r>
              <w:rPr>
                <w:rFonts w:eastAsia="Calibri"/>
                <w:b/>
              </w:rPr>
              <w:t>Documentation Reference</w:t>
            </w:r>
          </w:p>
        </w:tc>
        <w:tc>
          <w:tcPr>
            <w:tcW w:w="5243" w:type="dxa"/>
          </w:tcPr>
          <w:p w14:paraId="7A2DBDA0" w14:textId="7B341724" w:rsidR="00826292" w:rsidRDefault="00BB6EF3">
            <w:pPr>
              <w:pStyle w:val="NoSpacing"/>
              <w:rPr>
                <w:iCs/>
              </w:rPr>
            </w:pPr>
            <w:r>
              <w:rPr>
                <w:rFonts w:eastAsia="Calibri"/>
                <w:iCs/>
              </w:rPr>
              <w:t>GSMETS</w:t>
            </w:r>
            <w:r w:rsidR="005D0E60">
              <w:rPr>
                <w:rFonts w:eastAsia="Calibri"/>
                <w:iCs/>
              </w:rPr>
              <w:t xml:space="preserve"> v4.</w:t>
            </w:r>
            <w:r>
              <w:rPr>
                <w:rFonts w:eastAsia="Calibri"/>
                <w:iCs/>
              </w:rPr>
              <w:t>3</w:t>
            </w:r>
          </w:p>
        </w:tc>
      </w:tr>
    </w:tbl>
    <w:p w14:paraId="2B9D8DAD" w14:textId="45BABD0D" w:rsidR="00826292" w:rsidRDefault="005D0E60">
      <w:pPr>
        <w:rPr>
          <w:b/>
          <w:sz w:val="24"/>
          <w:szCs w:val="24"/>
        </w:rPr>
      </w:pPr>
      <w:r>
        <w:rPr>
          <w:b/>
          <w:sz w:val="24"/>
          <w:szCs w:val="24"/>
        </w:rPr>
        <w:t>Description:</w:t>
      </w:r>
    </w:p>
    <w:p w14:paraId="318231C3" w14:textId="77777777" w:rsidR="00BB6EF3" w:rsidRDefault="00BB6EF3" w:rsidP="00BB6EF3">
      <w:r>
        <w:t>Issue TS1420 was raised to establish the intended behaviour from gas meters without a stop valve.  The explanation provided was within the constraints of the specs at that time (GBCS v4.1 and GSMETS v4.3).</w:t>
      </w:r>
    </w:p>
    <w:p w14:paraId="6ABBE106" w14:textId="3DC39A01" w:rsidR="00BB6EF3" w:rsidRPr="008C050D" w:rsidRDefault="00BB6EF3" w:rsidP="00BB6EF3">
      <w:r>
        <w:t>This CRP addressed the changes required to support gas meters without a valve with respect to all processing that relates to a valve being present e.g., prepayment based processing</w:t>
      </w:r>
      <w:r w:rsidRPr="008C050D">
        <w:t>.</w:t>
      </w:r>
    </w:p>
    <w:p w14:paraId="52AE1DAE" w14:textId="77777777" w:rsidR="00826292" w:rsidRDefault="00826292">
      <w:pPr>
        <w:rPr>
          <w:b/>
          <w:sz w:val="24"/>
          <w:szCs w:val="24"/>
        </w:rPr>
      </w:pPr>
    </w:p>
    <w:p w14:paraId="7CB57B24" w14:textId="77777777" w:rsidR="00826292" w:rsidRDefault="005D0E60">
      <w:pPr>
        <w:rPr>
          <w:b/>
          <w:sz w:val="24"/>
          <w:szCs w:val="24"/>
        </w:rPr>
      </w:pPr>
      <w:r>
        <w:rPr>
          <w:b/>
          <w:sz w:val="24"/>
          <w:szCs w:val="24"/>
        </w:rPr>
        <w:t>Proposed Implementation:</w:t>
      </w:r>
    </w:p>
    <w:p w14:paraId="4FE15364" w14:textId="1C1D2BF0" w:rsidR="00BB6EF3" w:rsidRPr="00A11B98" w:rsidRDefault="00BB6EF3" w:rsidP="00BB6EF3">
      <w:r w:rsidRPr="00A11B98">
        <w:t xml:space="preserve">As </w:t>
      </w:r>
      <w:r>
        <w:t>expressed in the Issue description above</w:t>
      </w:r>
      <w:r w:rsidRPr="00A11B98">
        <w:t xml:space="preserve">, </w:t>
      </w:r>
      <w:r>
        <w:t xml:space="preserve">this CRP is intended to establish the </w:t>
      </w:r>
      <w:r w:rsidR="00BD36D1">
        <w:t>agreed</w:t>
      </w:r>
      <w:r w:rsidRPr="00FB1335">
        <w:t xml:space="preserve"> behaviour from </w:t>
      </w:r>
      <w:r>
        <w:t xml:space="preserve">GSME that does not have </w:t>
      </w:r>
      <w:r w:rsidRPr="00FB1335">
        <w:t xml:space="preserve">a </w:t>
      </w:r>
      <w:r>
        <w:t xml:space="preserve">Valve </w:t>
      </w:r>
      <w:r w:rsidRPr="00BB6EF3">
        <w:t>to Enable or Disable the flow of gas to Premises.</w:t>
      </w:r>
    </w:p>
    <w:p w14:paraId="36104988" w14:textId="05B12B3C" w:rsidR="002D42AC" w:rsidRDefault="00C61911" w:rsidP="00BB6EF3">
      <w:r>
        <w:t xml:space="preserve">Originally </w:t>
      </w:r>
      <w:r w:rsidR="002A5ECB">
        <w:t xml:space="preserve">in </w:t>
      </w:r>
      <w:r w:rsidR="000B0110" w:rsidRPr="000B0110">
        <w:t>SMETS</w:t>
      </w:r>
      <w:r w:rsidR="00ED337C">
        <w:t>2</w:t>
      </w:r>
      <w:r w:rsidR="007C798B">
        <w:t xml:space="preserve"> </w:t>
      </w:r>
      <w:r w:rsidR="0037126C">
        <w:t>(from GSMETS</w:t>
      </w:r>
      <w:r w:rsidR="00BC4B0D">
        <w:t xml:space="preserve"> </w:t>
      </w:r>
      <w:r w:rsidR="00557028">
        <w:t xml:space="preserve">v2.0) </w:t>
      </w:r>
      <w:r w:rsidR="007C798B">
        <w:t xml:space="preserve">the </w:t>
      </w:r>
      <w:r w:rsidR="00926831" w:rsidRPr="00926831">
        <w:t>requirements to Lock, Enable, Disable or Arm Supply</w:t>
      </w:r>
      <w:r w:rsidR="00BD42C2">
        <w:t xml:space="preserve">, functionality that requires the presence of a Valve, </w:t>
      </w:r>
      <w:r w:rsidR="007C798B">
        <w:t xml:space="preserve">applied </w:t>
      </w:r>
      <w:r w:rsidR="00926831" w:rsidRPr="00926831">
        <w:t>only to G</w:t>
      </w:r>
      <w:r w:rsidR="005F084D">
        <w:t>SME</w:t>
      </w:r>
      <w:r w:rsidR="00926831" w:rsidRPr="00926831">
        <w:t xml:space="preserve"> installed at Domestic Premises</w:t>
      </w:r>
      <w:r w:rsidR="005F084D">
        <w:t xml:space="preserve">.  </w:t>
      </w:r>
      <w:r w:rsidR="003F0C62">
        <w:t xml:space="preserve">The SEC modification SECMP0048 extended </w:t>
      </w:r>
      <w:r w:rsidR="008D534E">
        <w:t>the</w:t>
      </w:r>
      <w:r w:rsidR="00B73F25">
        <w:t xml:space="preserve"> </w:t>
      </w:r>
      <w:r w:rsidR="000B0110" w:rsidRPr="000B0110">
        <w:t xml:space="preserve">exemption </w:t>
      </w:r>
      <w:r w:rsidR="008E49AC">
        <w:t xml:space="preserve">to </w:t>
      </w:r>
      <w:r w:rsidR="001A2104">
        <w:t xml:space="preserve">allow </w:t>
      </w:r>
      <w:r w:rsidR="008D534E">
        <w:t>L</w:t>
      </w:r>
      <w:r w:rsidR="00F904D3">
        <w:t xml:space="preserve">arge </w:t>
      </w:r>
      <w:r w:rsidR="00B27B67">
        <w:t>G</w:t>
      </w:r>
      <w:r w:rsidR="001474AD">
        <w:t xml:space="preserve">as meters (e.g., U16) </w:t>
      </w:r>
      <w:r w:rsidR="000B0110" w:rsidRPr="000B0110">
        <w:t>installed at Domestic Premises</w:t>
      </w:r>
      <w:r w:rsidR="00D157BD">
        <w:t xml:space="preserve"> </w:t>
      </w:r>
      <w:r w:rsidR="00185A31">
        <w:t>to not require a Valve</w:t>
      </w:r>
      <w:r w:rsidR="00CC3A76">
        <w:t xml:space="preserve"> (from GSMETS v3.1).  </w:t>
      </w:r>
      <w:r w:rsidR="00232E83">
        <w:t>This w</w:t>
      </w:r>
      <w:r w:rsidR="007E0FAB">
        <w:t xml:space="preserve">as </w:t>
      </w:r>
      <w:r w:rsidR="00232E83">
        <w:t xml:space="preserve">on the basis that </w:t>
      </w:r>
      <w:r w:rsidR="007E0FAB">
        <w:t>no man</w:t>
      </w:r>
      <w:r w:rsidR="001062F7">
        <w:t xml:space="preserve">ufacturer had </w:t>
      </w:r>
      <w:r w:rsidR="001A7467">
        <w:t>intended to produce such a GSME</w:t>
      </w:r>
      <w:r w:rsidR="00232E83">
        <w:t xml:space="preserve"> and yet La</w:t>
      </w:r>
      <w:r w:rsidR="000558C4">
        <w:t xml:space="preserve">rge Gas Meters were occasionally required in the </w:t>
      </w:r>
      <w:r w:rsidR="00A1020B">
        <w:t>domestic setting.</w:t>
      </w:r>
      <w:r w:rsidR="00C57561">
        <w:t xml:space="preserve">  </w:t>
      </w:r>
      <w:r w:rsidR="0051257A">
        <w:t xml:space="preserve">The requirement for GSME </w:t>
      </w:r>
      <w:r w:rsidR="00CC4FBC">
        <w:t xml:space="preserve">other than </w:t>
      </w:r>
      <w:r w:rsidR="00CA2247">
        <w:t>Large</w:t>
      </w:r>
      <w:r w:rsidR="00AC2098">
        <w:t xml:space="preserve"> Gas</w:t>
      </w:r>
      <w:r w:rsidR="00CA2247">
        <w:t xml:space="preserve"> Meters </w:t>
      </w:r>
      <w:r w:rsidR="0051257A">
        <w:t xml:space="preserve">installed at </w:t>
      </w:r>
      <w:r w:rsidR="00F8755D">
        <w:t>Domestic Pre</w:t>
      </w:r>
      <w:r w:rsidR="00CA2247">
        <w:t xml:space="preserve">mises, </w:t>
      </w:r>
      <w:r w:rsidR="00185A31">
        <w:t xml:space="preserve">to have </w:t>
      </w:r>
      <w:r w:rsidR="00737E89">
        <w:t>a Valve remains unchanged.</w:t>
      </w:r>
      <w:r>
        <w:t xml:space="preserve"> </w:t>
      </w:r>
    </w:p>
    <w:p w14:paraId="59421999" w14:textId="42F1EA46" w:rsidR="00826292" w:rsidRDefault="00BB6EF3" w:rsidP="00BB6EF3">
      <w:r w:rsidRPr="00A11B98">
        <w:t>In outline, the proposed position</w:t>
      </w:r>
      <w:r>
        <w:t>, as discussed and support at the TSIRS meeting on 14 April 2022,</w:t>
      </w:r>
      <w:r w:rsidRPr="00A11B98">
        <w:t xml:space="preserve"> is </w:t>
      </w:r>
      <w:r>
        <w:t>to a</w:t>
      </w:r>
      <w:r w:rsidRPr="005D019F">
        <w:t xml:space="preserve">dd overarching clause identifying requirements not applicable to </w:t>
      </w:r>
      <w:r>
        <w:t>a</w:t>
      </w:r>
      <w:r w:rsidRPr="005D019F">
        <w:t xml:space="preserve"> GSME without </w:t>
      </w:r>
      <w:r w:rsidR="00DE6C50">
        <w:t>a V</w:t>
      </w:r>
      <w:r w:rsidRPr="005D019F">
        <w:t xml:space="preserve">alve </w:t>
      </w:r>
      <w:r w:rsidR="00061B6A">
        <w:t xml:space="preserve">more </w:t>
      </w:r>
      <w:r w:rsidR="00475698">
        <w:t xml:space="preserve">explicitly </w:t>
      </w:r>
      <w:r w:rsidR="00DE6C50">
        <w:t>in</w:t>
      </w:r>
      <w:r w:rsidRPr="005D019F">
        <w:t xml:space="preserve"> GSMETS</w:t>
      </w:r>
      <w:r w:rsidR="00DE6C50">
        <w:t xml:space="preserve"> specification</w:t>
      </w:r>
      <w:r w:rsidR="00A4751A">
        <w:t xml:space="preserve"> (including </w:t>
      </w:r>
      <w:r w:rsidR="00AC1AAA">
        <w:t>the associated GBCS requirements)</w:t>
      </w:r>
      <w:r>
        <w:t>.</w:t>
      </w:r>
    </w:p>
    <w:p w14:paraId="57DCF6CB" w14:textId="77777777" w:rsidR="00826292" w:rsidRDefault="00826292">
      <w:pPr>
        <w:rPr>
          <w:b/>
          <w:sz w:val="24"/>
          <w:szCs w:val="24"/>
        </w:rPr>
      </w:pPr>
    </w:p>
    <w:p w14:paraId="52F4BF62" w14:textId="77777777" w:rsidR="00826292" w:rsidRDefault="005D0E60">
      <w:pPr>
        <w:rPr>
          <w:b/>
          <w:sz w:val="24"/>
          <w:szCs w:val="24"/>
        </w:rPr>
      </w:pPr>
      <w:r>
        <w:rPr>
          <w:b/>
          <w:sz w:val="24"/>
          <w:szCs w:val="24"/>
        </w:rPr>
        <w:t>Interoperability and / or Compatibility:</w:t>
      </w:r>
    </w:p>
    <w:p w14:paraId="653D2D5F" w14:textId="2FA946FE" w:rsidR="00DE6C50" w:rsidRDefault="00DE6C50">
      <w:pPr>
        <w:rPr>
          <w:rFonts w:eastAsia="Times New Roman" w:cs="Arial"/>
          <w:color w:val="000000"/>
          <w:szCs w:val="24"/>
          <w:lang w:eastAsia="en-GB"/>
        </w:rPr>
      </w:pPr>
      <w:r>
        <w:rPr>
          <w:rFonts w:eastAsia="Times New Roman" w:cs="Arial"/>
          <w:color w:val="000000"/>
          <w:szCs w:val="24"/>
          <w:lang w:eastAsia="en-GB"/>
        </w:rPr>
        <w:t>There are no interoperability issues related to this change.  Also</w:t>
      </w:r>
      <w:r w:rsidR="00BD36D1">
        <w:rPr>
          <w:rFonts w:eastAsia="Times New Roman" w:cs="Arial"/>
          <w:color w:val="000000"/>
          <w:szCs w:val="24"/>
          <w:lang w:eastAsia="en-GB"/>
        </w:rPr>
        <w:t>,</w:t>
      </w:r>
      <w:r>
        <w:rPr>
          <w:rFonts w:eastAsia="Times New Roman" w:cs="Arial"/>
          <w:color w:val="000000"/>
          <w:szCs w:val="24"/>
          <w:lang w:eastAsia="en-GB"/>
        </w:rPr>
        <w:t xml:space="preserve"> t</w:t>
      </w:r>
      <w:r w:rsidR="005D0E60">
        <w:rPr>
          <w:rFonts w:eastAsia="Times New Roman" w:cs="Arial"/>
          <w:color w:val="000000"/>
          <w:szCs w:val="24"/>
          <w:lang w:eastAsia="en-GB"/>
        </w:rPr>
        <w:t>he changes do not affect DCC Systems or User systems, nor do they require any changed interactions with them</w:t>
      </w:r>
      <w:r w:rsidR="00BD36D1">
        <w:rPr>
          <w:rFonts w:eastAsia="Times New Roman" w:cs="Arial"/>
          <w:color w:val="000000"/>
          <w:szCs w:val="24"/>
          <w:lang w:eastAsia="en-GB"/>
        </w:rPr>
        <w:t>,</w:t>
      </w:r>
      <w:r>
        <w:rPr>
          <w:rFonts w:eastAsia="Times New Roman" w:cs="Arial"/>
          <w:color w:val="000000"/>
          <w:szCs w:val="24"/>
          <w:lang w:eastAsia="en-GB"/>
        </w:rPr>
        <w:t xml:space="preserve"> the </w:t>
      </w:r>
      <w:r>
        <w:rPr>
          <w:rFonts w:eastAsia="Times New Roman" w:cs="Arial"/>
          <w:color w:val="000000"/>
          <w:szCs w:val="24"/>
          <w:lang w:eastAsia="en-GB"/>
        </w:rPr>
        <w:lastRenderedPageBreak/>
        <w:t>intention is</w:t>
      </w:r>
      <w:r w:rsidR="005D0E60">
        <w:rPr>
          <w:rFonts w:eastAsia="Times New Roman" w:cs="Arial"/>
          <w:color w:val="000000"/>
          <w:szCs w:val="24"/>
          <w:lang w:eastAsia="en-GB"/>
        </w:rPr>
        <w:t xml:space="preserve"> </w:t>
      </w:r>
      <w:r>
        <w:rPr>
          <w:rFonts w:eastAsia="Times New Roman" w:cs="Arial"/>
          <w:color w:val="000000"/>
          <w:szCs w:val="24"/>
          <w:lang w:eastAsia="en-GB"/>
        </w:rPr>
        <w:t xml:space="preserve">purely to clarify what is expected should a SMETS2 GSME without a Valve be used. </w:t>
      </w:r>
    </w:p>
    <w:p w14:paraId="17D6D41C" w14:textId="77777777" w:rsidR="00DE6C50" w:rsidRDefault="00DE6C50">
      <w:pPr>
        <w:rPr>
          <w:b/>
          <w:sz w:val="24"/>
          <w:szCs w:val="24"/>
        </w:rPr>
      </w:pPr>
    </w:p>
    <w:p w14:paraId="0631792B" w14:textId="77777777" w:rsidR="00826292" w:rsidRDefault="005D0E60">
      <w:pPr>
        <w:rPr>
          <w:b/>
          <w:sz w:val="24"/>
          <w:szCs w:val="24"/>
        </w:rPr>
      </w:pPr>
      <w:r>
        <w:rPr>
          <w:b/>
          <w:sz w:val="24"/>
          <w:szCs w:val="24"/>
        </w:rPr>
        <w:t>Required Changes to Documentation:</w:t>
      </w:r>
    </w:p>
    <w:p w14:paraId="14A1D794" w14:textId="6F01B88B" w:rsidR="00DE6C50" w:rsidRDefault="00544216" w:rsidP="00DE6C50">
      <w:r>
        <w:t xml:space="preserve">The following changes are to be applied to GSMETS at </w:t>
      </w:r>
      <w:r w:rsidR="00DE6C50">
        <w:t xml:space="preserve">Section 4.1 </w:t>
      </w:r>
      <w:r>
        <w:t>as shown by the mark-up text below:</w:t>
      </w:r>
    </w:p>
    <w:p w14:paraId="4481FD4A" w14:textId="7B30471E" w:rsidR="00826292" w:rsidRDefault="00826292" w:rsidP="001105C6"/>
    <w:p w14:paraId="3B42FD98" w14:textId="367DF26B" w:rsidR="00E52E28" w:rsidRPr="004E7242" w:rsidRDefault="00914CBE" w:rsidP="006C39C6">
      <w:pPr>
        <w:rPr>
          <w:sz w:val="16"/>
          <w:szCs w:val="16"/>
        </w:rPr>
      </w:pPr>
      <w:r>
        <w:rPr>
          <w:noProof/>
        </w:rPr>
        <w:drawing>
          <wp:inline distT="0" distB="0" distL="0" distR="0" wp14:anchorId="18C9B6FC" wp14:editId="3A9C71E0">
            <wp:extent cx="5760720" cy="3481070"/>
            <wp:effectExtent l="0" t="0" r="0" b="5080"/>
            <wp:docPr id="4"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pic:cNvPicPr/>
                  </pic:nvPicPr>
                  <pic:blipFill>
                    <a:blip r:embed="rId8"/>
                    <a:stretch>
                      <a:fillRect/>
                    </a:stretch>
                  </pic:blipFill>
                  <pic:spPr>
                    <a:xfrm>
                      <a:off x="0" y="0"/>
                      <a:ext cx="5760720" cy="3481070"/>
                    </a:xfrm>
                    <a:prstGeom prst="rect">
                      <a:avLst/>
                    </a:prstGeom>
                  </pic:spPr>
                </pic:pic>
              </a:graphicData>
            </a:graphic>
          </wp:inline>
        </w:drawing>
      </w:r>
    </w:p>
    <w:p w14:paraId="57A9B8C5" w14:textId="0234B651" w:rsidR="00F56CC8" w:rsidRDefault="006C39C6" w:rsidP="006C39C6">
      <w:pPr>
        <w:rPr>
          <w:i/>
          <w:iCs/>
          <w:sz w:val="16"/>
          <w:szCs w:val="16"/>
        </w:rPr>
      </w:pPr>
      <w:r w:rsidRPr="006C39C6">
        <w:rPr>
          <w:i/>
          <w:iCs/>
          <w:sz w:val="16"/>
          <w:szCs w:val="16"/>
        </w:rPr>
        <w:t>&lt;run on as is…&gt;</w:t>
      </w:r>
    </w:p>
    <w:p w14:paraId="6577AB46" w14:textId="77777777" w:rsidR="006C39C6" w:rsidRPr="006C39C6" w:rsidRDefault="006C39C6" w:rsidP="006C39C6">
      <w:pPr>
        <w:rPr>
          <w:i/>
          <w:iCs/>
          <w:sz w:val="16"/>
          <w:szCs w:val="16"/>
        </w:rPr>
      </w:pPr>
    </w:p>
    <w:tbl>
      <w:tblPr>
        <w:tblStyle w:val="TableGrid"/>
        <w:tblW w:w="9242" w:type="dxa"/>
        <w:tblLayout w:type="fixed"/>
        <w:tblCellMar>
          <w:top w:w="85" w:type="dxa"/>
          <w:bottom w:w="85" w:type="dxa"/>
        </w:tblCellMar>
        <w:tblLook w:val="04A0" w:firstRow="1" w:lastRow="0" w:firstColumn="1" w:lastColumn="0" w:noHBand="0" w:noVBand="1"/>
      </w:tblPr>
      <w:tblGrid>
        <w:gridCol w:w="4106"/>
        <w:gridCol w:w="5136"/>
      </w:tblGrid>
      <w:tr w:rsidR="00826292" w14:paraId="6AB1313B" w14:textId="77777777" w:rsidTr="00C75480">
        <w:tc>
          <w:tcPr>
            <w:tcW w:w="4106" w:type="dxa"/>
          </w:tcPr>
          <w:p w14:paraId="49DED4DA" w14:textId="77777777" w:rsidR="00826292" w:rsidRDefault="005D0E60">
            <w:pPr>
              <w:pStyle w:val="NoSpacing"/>
              <w:rPr>
                <w:b/>
              </w:rPr>
            </w:pPr>
            <w:r>
              <w:rPr>
                <w:rFonts w:eastAsia="Calibri"/>
                <w:b/>
              </w:rPr>
              <w:t>TS version for incorporation</w:t>
            </w:r>
          </w:p>
        </w:tc>
        <w:tc>
          <w:tcPr>
            <w:tcW w:w="5136" w:type="dxa"/>
          </w:tcPr>
          <w:p w14:paraId="0498884A" w14:textId="4B57A622" w:rsidR="00826292" w:rsidRDefault="005D0E60">
            <w:pPr>
              <w:pStyle w:val="NoSpacing"/>
              <w:rPr>
                <w:iCs/>
              </w:rPr>
            </w:pPr>
            <w:r>
              <w:rPr>
                <w:rFonts w:eastAsia="Calibri"/>
                <w:iCs/>
              </w:rPr>
              <w:t>TBC</w:t>
            </w:r>
          </w:p>
        </w:tc>
      </w:tr>
      <w:tr w:rsidR="00826292" w14:paraId="7B56645A" w14:textId="77777777" w:rsidTr="00C75480">
        <w:tc>
          <w:tcPr>
            <w:tcW w:w="4106" w:type="dxa"/>
          </w:tcPr>
          <w:p w14:paraId="2ABAA709" w14:textId="77777777" w:rsidR="00826292" w:rsidRDefault="005D0E60">
            <w:pPr>
              <w:pStyle w:val="NoSpacing"/>
              <w:rPr>
                <w:b/>
              </w:rPr>
            </w:pPr>
            <w:r>
              <w:rPr>
                <w:rFonts w:eastAsia="Calibri"/>
                <w:b/>
              </w:rPr>
              <w:t>Impact on previous RPs</w:t>
            </w:r>
          </w:p>
        </w:tc>
        <w:tc>
          <w:tcPr>
            <w:tcW w:w="5136" w:type="dxa"/>
          </w:tcPr>
          <w:p w14:paraId="55A6CEBF" w14:textId="77777777" w:rsidR="00826292" w:rsidRDefault="005D0E60">
            <w:pPr>
              <w:pStyle w:val="NoSpacing"/>
              <w:rPr>
                <w:iCs/>
              </w:rPr>
            </w:pPr>
            <w:r>
              <w:rPr>
                <w:rFonts w:eastAsia="Calibri"/>
                <w:iCs/>
              </w:rPr>
              <w:t xml:space="preserve">None </w:t>
            </w:r>
          </w:p>
        </w:tc>
      </w:tr>
      <w:tr w:rsidR="00826292" w14:paraId="0F3DE35C" w14:textId="77777777" w:rsidTr="00C75480">
        <w:tc>
          <w:tcPr>
            <w:tcW w:w="4106" w:type="dxa"/>
          </w:tcPr>
          <w:p w14:paraId="3C54D146" w14:textId="77777777" w:rsidR="00826292" w:rsidRDefault="005D0E60">
            <w:pPr>
              <w:pStyle w:val="NoSpacing"/>
              <w:rPr>
                <w:b/>
              </w:rPr>
            </w:pPr>
            <w:r>
              <w:rPr>
                <w:rFonts w:eastAsia="Calibri"/>
                <w:b/>
              </w:rPr>
              <w:t>Attachment(s)</w:t>
            </w:r>
          </w:p>
        </w:tc>
        <w:tc>
          <w:tcPr>
            <w:tcW w:w="5136" w:type="dxa"/>
          </w:tcPr>
          <w:p w14:paraId="636AB20F" w14:textId="5046E8A3" w:rsidR="00826292" w:rsidRDefault="00544216">
            <w:pPr>
              <w:pStyle w:val="NoSpacing"/>
              <w:rPr>
                <w:iCs/>
              </w:rPr>
            </w:pPr>
            <w:r>
              <w:rPr>
                <w:iCs/>
              </w:rPr>
              <w:t>None</w:t>
            </w:r>
          </w:p>
        </w:tc>
      </w:tr>
      <w:tr w:rsidR="00C75480" w14:paraId="5487F2D4" w14:textId="77777777" w:rsidTr="00911FF2">
        <w:trPr>
          <w:trHeight w:val="468"/>
        </w:trPr>
        <w:tc>
          <w:tcPr>
            <w:tcW w:w="4106" w:type="dxa"/>
            <w:vMerge w:val="restart"/>
          </w:tcPr>
          <w:p w14:paraId="54480834" w14:textId="77777777" w:rsidR="00C75480" w:rsidRDefault="00C75480">
            <w:pPr>
              <w:pStyle w:val="NoSpacing"/>
              <w:rPr>
                <w:b/>
              </w:rPr>
            </w:pPr>
            <w:r>
              <w:rPr>
                <w:rFonts w:eastAsia="Calibri"/>
                <w:b/>
              </w:rPr>
              <w:t>Affected Parties</w:t>
            </w:r>
          </w:p>
        </w:tc>
        <w:tc>
          <w:tcPr>
            <w:tcW w:w="5136" w:type="dxa"/>
          </w:tcPr>
          <w:p w14:paraId="6A6F8D2D" w14:textId="600D1C15" w:rsidR="00C75480" w:rsidRPr="00703714" w:rsidRDefault="00C75480" w:rsidP="00911FF2">
            <w:pPr>
              <w:spacing w:before="0" w:after="0"/>
            </w:pPr>
            <w:r>
              <w:t>Consumers: No impact</w:t>
            </w:r>
          </w:p>
        </w:tc>
      </w:tr>
      <w:tr w:rsidR="00C75480" w14:paraId="45125EEE" w14:textId="77777777" w:rsidTr="00911FF2">
        <w:trPr>
          <w:trHeight w:val="647"/>
        </w:trPr>
        <w:tc>
          <w:tcPr>
            <w:tcW w:w="4106" w:type="dxa"/>
            <w:vMerge/>
          </w:tcPr>
          <w:p w14:paraId="55BADF65" w14:textId="77777777" w:rsidR="00C75480" w:rsidRDefault="00C75480">
            <w:pPr>
              <w:pStyle w:val="NoSpacing"/>
              <w:rPr>
                <w:rFonts w:eastAsia="Calibri"/>
                <w:b/>
              </w:rPr>
            </w:pPr>
          </w:p>
        </w:tc>
        <w:tc>
          <w:tcPr>
            <w:tcW w:w="5136" w:type="dxa"/>
          </w:tcPr>
          <w:p w14:paraId="7D190CF0" w14:textId="5FC6BF30" w:rsidR="00C75480" w:rsidRDefault="00C75480" w:rsidP="00911FF2">
            <w:pPr>
              <w:spacing w:before="0" w:after="0"/>
            </w:pPr>
            <w:r>
              <w:t>DCC Users: Manufacturers and Users of GSME without a Valve</w:t>
            </w:r>
          </w:p>
        </w:tc>
      </w:tr>
      <w:tr w:rsidR="00C75480" w14:paraId="5649A5AB" w14:textId="77777777" w:rsidTr="00C75480">
        <w:trPr>
          <w:trHeight w:val="717"/>
        </w:trPr>
        <w:tc>
          <w:tcPr>
            <w:tcW w:w="4106" w:type="dxa"/>
            <w:vMerge/>
          </w:tcPr>
          <w:p w14:paraId="6CD0A128" w14:textId="77777777" w:rsidR="00C75480" w:rsidRDefault="00C75480">
            <w:pPr>
              <w:pStyle w:val="NoSpacing"/>
              <w:rPr>
                <w:rFonts w:eastAsia="Calibri"/>
                <w:b/>
              </w:rPr>
            </w:pPr>
          </w:p>
        </w:tc>
        <w:tc>
          <w:tcPr>
            <w:tcW w:w="5136" w:type="dxa"/>
          </w:tcPr>
          <w:p w14:paraId="1AC36D6D" w14:textId="326A2CEF" w:rsidR="00C75480" w:rsidRDefault="00C75480" w:rsidP="00911FF2">
            <w:pPr>
              <w:spacing w:before="0" w:after="0"/>
            </w:pPr>
            <w:r>
              <w:t xml:space="preserve">DCC &amp; Testing: No obvious impact on DCC Testing </w:t>
            </w:r>
          </w:p>
        </w:tc>
      </w:tr>
      <w:tr w:rsidR="00C75480" w14:paraId="243447B5" w14:textId="77777777" w:rsidTr="00C75480">
        <w:trPr>
          <w:trHeight w:val="717"/>
        </w:trPr>
        <w:tc>
          <w:tcPr>
            <w:tcW w:w="4106" w:type="dxa"/>
            <w:vMerge/>
          </w:tcPr>
          <w:p w14:paraId="62657E5D" w14:textId="77777777" w:rsidR="00C75480" w:rsidRDefault="00C75480">
            <w:pPr>
              <w:pStyle w:val="NoSpacing"/>
              <w:rPr>
                <w:rFonts w:eastAsia="Calibri"/>
                <w:b/>
              </w:rPr>
            </w:pPr>
          </w:p>
        </w:tc>
        <w:tc>
          <w:tcPr>
            <w:tcW w:w="5136" w:type="dxa"/>
          </w:tcPr>
          <w:p w14:paraId="6AADAF8B" w14:textId="2B9EC9C9" w:rsidR="00C75480" w:rsidRDefault="00C75480" w:rsidP="00911FF2">
            <w:pPr>
              <w:spacing w:before="0" w:after="0"/>
            </w:pPr>
            <w:r>
              <w:t>Additional impact on functionality for installed devices: No impact.</w:t>
            </w:r>
          </w:p>
        </w:tc>
      </w:tr>
    </w:tbl>
    <w:p w14:paraId="7E7B960A" w14:textId="77777777" w:rsidR="00826292" w:rsidRDefault="00826292"/>
    <w:sectPr w:rsidR="00826292">
      <w:footerReference w:type="default" r:id="rId9"/>
      <w:pgSz w:w="11906" w:h="16838"/>
      <w:pgMar w:top="1276" w:right="1416" w:bottom="765" w:left="1418" w:header="708" w:footer="708" w:gutter="0"/>
      <w:cols w:space="720"/>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21B57" w14:textId="77777777" w:rsidR="007F74A9" w:rsidRDefault="007F74A9">
      <w:pPr>
        <w:spacing w:before="0" w:after="0"/>
      </w:pPr>
      <w:r>
        <w:separator/>
      </w:r>
    </w:p>
  </w:endnote>
  <w:endnote w:type="continuationSeparator" w:id="0">
    <w:p w14:paraId="49AAA6D0" w14:textId="77777777" w:rsidR="007F74A9" w:rsidRDefault="007F74A9">
      <w:pPr>
        <w:spacing w:before="0" w:after="0"/>
      </w:pPr>
      <w:r>
        <w:continuationSeparator/>
      </w:r>
    </w:p>
  </w:endnote>
  <w:endnote w:type="continuationNotice" w:id="1">
    <w:p w14:paraId="309625C3" w14:textId="77777777" w:rsidR="007F74A9" w:rsidRDefault="007F74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roman"/>
    <w:pitch w:val="variable"/>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29D8" w14:textId="77777777" w:rsidR="00826292" w:rsidRDefault="005D0E60">
    <w:pPr>
      <w:pStyle w:val="Footer"/>
    </w:pPr>
    <w:r>
      <w:tab/>
    </w:r>
    <w:r>
      <w:fldChar w:fldCharType="begin"/>
    </w:r>
    <w:r>
      <w:instrText>PAGE</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8A24A" w14:textId="77777777" w:rsidR="007F74A9" w:rsidRDefault="007F74A9">
      <w:pPr>
        <w:spacing w:before="0" w:after="0"/>
      </w:pPr>
      <w:r>
        <w:separator/>
      </w:r>
    </w:p>
  </w:footnote>
  <w:footnote w:type="continuationSeparator" w:id="0">
    <w:p w14:paraId="2E38AB96" w14:textId="77777777" w:rsidR="007F74A9" w:rsidRDefault="007F74A9">
      <w:pPr>
        <w:spacing w:before="0" w:after="0"/>
      </w:pPr>
      <w:r>
        <w:continuationSeparator/>
      </w:r>
    </w:p>
  </w:footnote>
  <w:footnote w:type="continuationNotice" w:id="1">
    <w:p w14:paraId="6AA5DB3D" w14:textId="77777777" w:rsidR="007F74A9" w:rsidRDefault="007F74A9">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6507E"/>
    <w:multiLevelType w:val="multilevel"/>
    <w:tmpl w:val="4FCA8410"/>
    <w:lvl w:ilvl="0">
      <w:start w:val="18"/>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5BD374C6"/>
    <w:multiLevelType w:val="multilevel"/>
    <w:tmpl w:val="59B87B8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720"/>
        </w:tabs>
        <w:ind w:left="1080" w:hanging="360"/>
      </w:pPr>
      <w:rPr>
        <w:rFonts w:ascii="Courier New" w:hAnsi="Courier New" w:cs="Courier New" w:hint="default"/>
      </w:rPr>
    </w:lvl>
    <w:lvl w:ilvl="2">
      <w:start w:val="1"/>
      <w:numFmt w:val="bullet"/>
      <w:lvlText w:val=""/>
      <w:lvlJc w:val="left"/>
      <w:pPr>
        <w:tabs>
          <w:tab w:val="num" w:pos="1080"/>
        </w:tabs>
        <w:ind w:left="1800" w:hanging="360"/>
      </w:pPr>
      <w:rPr>
        <w:rFonts w:ascii="Wingdings" w:hAnsi="Wingdings" w:cs="Wingdings" w:hint="default"/>
      </w:rPr>
    </w:lvl>
    <w:lvl w:ilvl="3">
      <w:start w:val="1"/>
      <w:numFmt w:val="bullet"/>
      <w:lvlText w:val=""/>
      <w:lvlJc w:val="left"/>
      <w:pPr>
        <w:tabs>
          <w:tab w:val="num" w:pos="1440"/>
        </w:tabs>
        <w:ind w:left="2520" w:hanging="360"/>
      </w:pPr>
      <w:rPr>
        <w:rFonts w:ascii="Symbol" w:hAnsi="Symbol" w:cs="Symbol" w:hint="default"/>
      </w:rPr>
    </w:lvl>
    <w:lvl w:ilvl="4">
      <w:start w:val="1"/>
      <w:numFmt w:val="bullet"/>
      <w:lvlText w:val="o"/>
      <w:lvlJc w:val="left"/>
      <w:pPr>
        <w:tabs>
          <w:tab w:val="num" w:pos="1800"/>
        </w:tabs>
        <w:ind w:left="3240" w:hanging="360"/>
      </w:pPr>
      <w:rPr>
        <w:rFonts w:ascii="Courier New" w:hAnsi="Courier New" w:cs="Courier New" w:hint="default"/>
      </w:rPr>
    </w:lvl>
    <w:lvl w:ilvl="5">
      <w:start w:val="1"/>
      <w:numFmt w:val="bullet"/>
      <w:lvlText w:val=""/>
      <w:lvlJc w:val="left"/>
      <w:pPr>
        <w:tabs>
          <w:tab w:val="num" w:pos="2160"/>
        </w:tabs>
        <w:ind w:left="3960" w:hanging="360"/>
      </w:pPr>
      <w:rPr>
        <w:rFonts w:ascii="Wingdings" w:hAnsi="Wingdings" w:cs="Wingdings" w:hint="default"/>
      </w:rPr>
    </w:lvl>
    <w:lvl w:ilvl="6">
      <w:start w:val="1"/>
      <w:numFmt w:val="bullet"/>
      <w:lvlText w:val=""/>
      <w:lvlJc w:val="left"/>
      <w:pPr>
        <w:tabs>
          <w:tab w:val="num" w:pos="2520"/>
        </w:tabs>
        <w:ind w:left="4680" w:hanging="360"/>
      </w:pPr>
      <w:rPr>
        <w:rFonts w:ascii="Symbol" w:hAnsi="Symbol" w:cs="Symbol" w:hint="default"/>
      </w:rPr>
    </w:lvl>
    <w:lvl w:ilvl="7">
      <w:start w:val="1"/>
      <w:numFmt w:val="bullet"/>
      <w:lvlText w:val="o"/>
      <w:lvlJc w:val="left"/>
      <w:pPr>
        <w:tabs>
          <w:tab w:val="num" w:pos="2880"/>
        </w:tabs>
        <w:ind w:left="5400" w:hanging="360"/>
      </w:pPr>
      <w:rPr>
        <w:rFonts w:ascii="Courier New" w:hAnsi="Courier New" w:cs="Courier New" w:hint="default"/>
      </w:rPr>
    </w:lvl>
    <w:lvl w:ilvl="8">
      <w:start w:val="1"/>
      <w:numFmt w:val="bullet"/>
      <w:lvlText w:val=""/>
      <w:lvlJc w:val="left"/>
      <w:pPr>
        <w:tabs>
          <w:tab w:val="num" w:pos="3240"/>
        </w:tabs>
        <w:ind w:left="6120" w:hanging="360"/>
      </w:pPr>
      <w:rPr>
        <w:rFonts w:ascii="Wingdings" w:hAnsi="Wingdings" w:cs="Wingdings" w:hint="default"/>
      </w:rPr>
    </w:lvl>
  </w:abstractNum>
  <w:abstractNum w:abstractNumId="2" w15:restartNumberingAfterBreak="0">
    <w:nsid w:val="63922597"/>
    <w:multiLevelType w:val="multilevel"/>
    <w:tmpl w:val="7B7A7562"/>
    <w:lvl w:ilvl="0">
      <w:start w:val="16"/>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1432"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4699"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3" w15:restartNumberingAfterBreak="0">
    <w:nsid w:val="68A018BB"/>
    <w:multiLevelType w:val="multilevel"/>
    <w:tmpl w:val="0062EB66"/>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4" w15:restartNumberingAfterBreak="0">
    <w:nsid w:val="7E3C1CEA"/>
    <w:multiLevelType w:val="multilevel"/>
    <w:tmpl w:val="E8EA150A"/>
    <w:lvl w:ilvl="0">
      <w:start w:val="1"/>
      <w:numFmt w:val="decimal"/>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613679916">
    <w:abstractNumId w:val="2"/>
  </w:num>
  <w:num w:numId="2" w16cid:durableId="1177311282">
    <w:abstractNumId w:val="1"/>
  </w:num>
  <w:num w:numId="3" w16cid:durableId="1513177201">
    <w:abstractNumId w:val="3"/>
  </w:num>
  <w:num w:numId="4" w16cid:durableId="989214076">
    <w:abstractNumId w:val="0"/>
  </w:num>
  <w:num w:numId="5" w16cid:durableId="13939658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autoHyphenation/>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292"/>
    <w:rsid w:val="00033352"/>
    <w:rsid w:val="000558C4"/>
    <w:rsid w:val="00061B6A"/>
    <w:rsid w:val="0006467B"/>
    <w:rsid w:val="000822E5"/>
    <w:rsid w:val="000B0110"/>
    <w:rsid w:val="000B5D83"/>
    <w:rsid w:val="000C654D"/>
    <w:rsid w:val="000E6D9B"/>
    <w:rsid w:val="000F0F08"/>
    <w:rsid w:val="001062F7"/>
    <w:rsid w:val="001105C6"/>
    <w:rsid w:val="00116D36"/>
    <w:rsid w:val="00133973"/>
    <w:rsid w:val="001435BC"/>
    <w:rsid w:val="001474AD"/>
    <w:rsid w:val="00173D33"/>
    <w:rsid w:val="00185A31"/>
    <w:rsid w:val="001A0F10"/>
    <w:rsid w:val="001A2104"/>
    <w:rsid w:val="001A7467"/>
    <w:rsid w:val="001E3DA3"/>
    <w:rsid w:val="001F2C5A"/>
    <w:rsid w:val="00200509"/>
    <w:rsid w:val="002039B7"/>
    <w:rsid w:val="0021052F"/>
    <w:rsid w:val="002175D8"/>
    <w:rsid w:val="00232E83"/>
    <w:rsid w:val="002351C6"/>
    <w:rsid w:val="002454C9"/>
    <w:rsid w:val="00291B22"/>
    <w:rsid w:val="002A5ECB"/>
    <w:rsid w:val="002C70AD"/>
    <w:rsid w:val="002D42AC"/>
    <w:rsid w:val="0030236A"/>
    <w:rsid w:val="00325BCB"/>
    <w:rsid w:val="003325F2"/>
    <w:rsid w:val="00340346"/>
    <w:rsid w:val="0036361F"/>
    <w:rsid w:val="0037126C"/>
    <w:rsid w:val="00382067"/>
    <w:rsid w:val="00382FE4"/>
    <w:rsid w:val="003F0C62"/>
    <w:rsid w:val="003F2D09"/>
    <w:rsid w:val="003F710B"/>
    <w:rsid w:val="00422881"/>
    <w:rsid w:val="0044222A"/>
    <w:rsid w:val="00475698"/>
    <w:rsid w:val="00496C94"/>
    <w:rsid w:val="004D5ABA"/>
    <w:rsid w:val="004D5E02"/>
    <w:rsid w:val="004E268C"/>
    <w:rsid w:val="004E7242"/>
    <w:rsid w:val="00504173"/>
    <w:rsid w:val="0051257A"/>
    <w:rsid w:val="005254D0"/>
    <w:rsid w:val="00544216"/>
    <w:rsid w:val="00557028"/>
    <w:rsid w:val="00561A14"/>
    <w:rsid w:val="00576ADA"/>
    <w:rsid w:val="005D0E60"/>
    <w:rsid w:val="005D1F6F"/>
    <w:rsid w:val="005D317D"/>
    <w:rsid w:val="005E21CF"/>
    <w:rsid w:val="005F084D"/>
    <w:rsid w:val="00642C65"/>
    <w:rsid w:val="00677953"/>
    <w:rsid w:val="00686B0C"/>
    <w:rsid w:val="006A6D20"/>
    <w:rsid w:val="006B72F5"/>
    <w:rsid w:val="006C39C6"/>
    <w:rsid w:val="006E7BFE"/>
    <w:rsid w:val="00703714"/>
    <w:rsid w:val="0073303D"/>
    <w:rsid w:val="00737E89"/>
    <w:rsid w:val="00742DBA"/>
    <w:rsid w:val="007465C1"/>
    <w:rsid w:val="00754533"/>
    <w:rsid w:val="007A45BF"/>
    <w:rsid w:val="007C798B"/>
    <w:rsid w:val="007D4EEB"/>
    <w:rsid w:val="007E0FAB"/>
    <w:rsid w:val="007F629A"/>
    <w:rsid w:val="007F74A9"/>
    <w:rsid w:val="008078D1"/>
    <w:rsid w:val="00807E3C"/>
    <w:rsid w:val="00816266"/>
    <w:rsid w:val="00826292"/>
    <w:rsid w:val="00843BC0"/>
    <w:rsid w:val="00866244"/>
    <w:rsid w:val="00892D98"/>
    <w:rsid w:val="0089717C"/>
    <w:rsid w:val="008C0B6D"/>
    <w:rsid w:val="008C730A"/>
    <w:rsid w:val="008D534E"/>
    <w:rsid w:val="008D5FC9"/>
    <w:rsid w:val="008E1F5F"/>
    <w:rsid w:val="008E49AC"/>
    <w:rsid w:val="008F5228"/>
    <w:rsid w:val="008F5E02"/>
    <w:rsid w:val="009072FB"/>
    <w:rsid w:val="00911FF2"/>
    <w:rsid w:val="00914CBE"/>
    <w:rsid w:val="00924F0C"/>
    <w:rsid w:val="00926831"/>
    <w:rsid w:val="009534F2"/>
    <w:rsid w:val="00953F50"/>
    <w:rsid w:val="009563B1"/>
    <w:rsid w:val="00961B9F"/>
    <w:rsid w:val="0097039A"/>
    <w:rsid w:val="009A5693"/>
    <w:rsid w:val="009B0F16"/>
    <w:rsid w:val="009B4581"/>
    <w:rsid w:val="009C1720"/>
    <w:rsid w:val="009E3AE8"/>
    <w:rsid w:val="00A03410"/>
    <w:rsid w:val="00A1020B"/>
    <w:rsid w:val="00A14682"/>
    <w:rsid w:val="00A20D80"/>
    <w:rsid w:val="00A4751A"/>
    <w:rsid w:val="00A54A93"/>
    <w:rsid w:val="00A96484"/>
    <w:rsid w:val="00AA1C07"/>
    <w:rsid w:val="00AC1AAA"/>
    <w:rsid w:val="00AC2098"/>
    <w:rsid w:val="00AD635A"/>
    <w:rsid w:val="00B04AC1"/>
    <w:rsid w:val="00B05EE1"/>
    <w:rsid w:val="00B062B1"/>
    <w:rsid w:val="00B27B67"/>
    <w:rsid w:val="00B37463"/>
    <w:rsid w:val="00B45011"/>
    <w:rsid w:val="00B54814"/>
    <w:rsid w:val="00B63567"/>
    <w:rsid w:val="00B709BD"/>
    <w:rsid w:val="00B73F25"/>
    <w:rsid w:val="00B83B95"/>
    <w:rsid w:val="00BB6EF3"/>
    <w:rsid w:val="00BC4B0D"/>
    <w:rsid w:val="00BD36D1"/>
    <w:rsid w:val="00BD42C2"/>
    <w:rsid w:val="00BD4421"/>
    <w:rsid w:val="00C06B37"/>
    <w:rsid w:val="00C20CA7"/>
    <w:rsid w:val="00C45E68"/>
    <w:rsid w:val="00C51F8D"/>
    <w:rsid w:val="00C57561"/>
    <w:rsid w:val="00C61911"/>
    <w:rsid w:val="00C72CAE"/>
    <w:rsid w:val="00C75480"/>
    <w:rsid w:val="00C776FA"/>
    <w:rsid w:val="00C85BEB"/>
    <w:rsid w:val="00C9590D"/>
    <w:rsid w:val="00CA2247"/>
    <w:rsid w:val="00CC3A76"/>
    <w:rsid w:val="00CC4FBC"/>
    <w:rsid w:val="00CD5EA0"/>
    <w:rsid w:val="00CE2384"/>
    <w:rsid w:val="00D157BD"/>
    <w:rsid w:val="00D32F21"/>
    <w:rsid w:val="00DE3211"/>
    <w:rsid w:val="00DE6C50"/>
    <w:rsid w:val="00DF2712"/>
    <w:rsid w:val="00DF3403"/>
    <w:rsid w:val="00E04A08"/>
    <w:rsid w:val="00E1510D"/>
    <w:rsid w:val="00E52E28"/>
    <w:rsid w:val="00E7793E"/>
    <w:rsid w:val="00E80D10"/>
    <w:rsid w:val="00E8139E"/>
    <w:rsid w:val="00E93C8E"/>
    <w:rsid w:val="00EC2057"/>
    <w:rsid w:val="00EC2C94"/>
    <w:rsid w:val="00ED1B50"/>
    <w:rsid w:val="00ED2548"/>
    <w:rsid w:val="00ED337C"/>
    <w:rsid w:val="00F232B8"/>
    <w:rsid w:val="00F44214"/>
    <w:rsid w:val="00F56CC8"/>
    <w:rsid w:val="00F64936"/>
    <w:rsid w:val="00F8755D"/>
    <w:rsid w:val="00F904D3"/>
    <w:rsid w:val="00FF1374"/>
    <w:rsid w:val="00FF75F3"/>
    <w:rsid w:val="0EB624DD"/>
    <w:rsid w:val="34092F08"/>
    <w:rsid w:val="67EF31D9"/>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3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basedOn w:val="Normal"/>
    <w:link w:val="ListParagraphChar"/>
    <w:uiPriority w:val="34"/>
    <w:qFormat/>
    <w:rsid w:val="00D80986"/>
    <w:pPr>
      <w:ind w:left="720"/>
      <w:contextualSpacing/>
    </w:pPr>
  </w:style>
  <w:style w:type="paragraph" w:styleId="ListBullet">
    <w:name w:val="List Bullet"/>
    <w:basedOn w:val="Normal"/>
    <w:unhideWhenUsed/>
    <w:qFormat/>
    <w:rsid w:val="000067E6"/>
    <w:pPr>
      <w:spacing w:before="0" w:after="0"/>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AF11CA"/>
    <w:pPr>
      <w:spacing w:before="120" w:after="240"/>
    </w:pPr>
    <w:rPr>
      <w:bCs/>
    </w:rPr>
  </w:style>
  <w:style w:type="paragraph" w:customStyle="1" w:styleId="FrameContents">
    <w:name w:val="Frame Contents"/>
    <w:basedOn w:val="Normal"/>
    <w:qFormat/>
  </w:style>
  <w:style w:type="paragraph" w:customStyle="1" w:styleId="GlHead">
    <w:name w:val="GlHead"/>
    <w:basedOn w:val="Normal"/>
    <w:next w:val="Normal"/>
    <w:autoRedefine/>
    <w:qFormat/>
    <w:rsid w:val="007255BF"/>
    <w:pPr>
      <w:keepNext/>
      <w:suppressAutoHyphens w:val="0"/>
    </w:pPr>
    <w:rPr>
      <w:rFonts w:cs="Arial"/>
      <w:color w:val="009EE3"/>
      <w:szCs w:val="24"/>
    </w:rPr>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UnresolvedMention">
    <w:name w:val="Unresolved Mention"/>
    <w:basedOn w:val="DefaultParagraphFont"/>
    <w:uiPriority w:val="99"/>
    <w:unhideWhenUsed/>
    <w:rsid w:val="00E04A08"/>
    <w:rPr>
      <w:color w:val="605E5C"/>
      <w:shd w:val="clear" w:color="auto" w:fill="E1DFDD"/>
    </w:rPr>
  </w:style>
  <w:style w:type="character" w:styleId="Mention">
    <w:name w:val="Mention"/>
    <w:basedOn w:val="DefaultParagraphFont"/>
    <w:uiPriority w:val="99"/>
    <w:unhideWhenUsed/>
    <w:rsid w:val="00E04A08"/>
    <w:rPr>
      <w:color w:val="2B579A"/>
      <w:shd w:val="clear" w:color="auto" w:fill="E1DFDD"/>
    </w:rPr>
  </w:style>
  <w:style w:type="paragraph" w:styleId="Revision">
    <w:name w:val="Revision"/>
    <w:hidden/>
    <w:uiPriority w:val="99"/>
    <w:semiHidden/>
    <w:rsid w:val="00496C94"/>
    <w:pPr>
      <w:suppressAutoHyphens w:val="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348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20E4AB-4C6E-4BF4-A810-2E6028D525B2}">
  <ds:schemaRefs>
    <ds:schemaRef ds:uri="http://schemas.openxmlformats.org/officeDocument/2006/bibliography"/>
  </ds:schemaRefs>
</ds:datastoreItem>
</file>

<file path=customXml/itemProps2.xml><?xml version="1.0" encoding="utf-8"?>
<ds:datastoreItem xmlns:ds="http://schemas.openxmlformats.org/officeDocument/2006/customXml" ds:itemID="{9D61CBE9-6573-47E8-8AFB-504C8FC69038}"/>
</file>

<file path=customXml/itemProps3.xml><?xml version="1.0" encoding="utf-8"?>
<ds:datastoreItem xmlns:ds="http://schemas.openxmlformats.org/officeDocument/2006/customXml" ds:itemID="{8E514C64-AC1F-4626-AFCC-D0652072A131}"/>
</file>

<file path=customXml/itemProps4.xml><?xml version="1.0" encoding="utf-8"?>
<ds:datastoreItem xmlns:ds="http://schemas.openxmlformats.org/officeDocument/2006/customXml" ds:itemID="{14766774-8A83-4041-A011-DBBDE104E6EC}"/>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2022-06-10T12:44:00Z</dcterms:created>
  <dcterms:modified xsi:type="dcterms:W3CDTF">2022-06-16T08:46:00Z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2022-06-10T12:44:45Z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c5636ef7-129d-4794-9af4-7edaaba97ded</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ies>
</file>